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4AA" w:rsidRPr="00420C13" w:rsidRDefault="000531B8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Growing Pains Symptom Checker</w:t>
      </w:r>
    </w:p>
    <w:p w:rsidR="0005788D" w:rsidRPr="0005788D" w:rsidRDefault="000531B8" w:rsidP="0005788D">
      <w:pPr>
        <w:pStyle w:val="Heading2"/>
      </w:pPr>
      <w:r w:rsidRPr="0005788D">
        <w:rPr>
          <w:sz w:val="24"/>
          <w:szCs w:val="24"/>
        </w:rPr>
        <w:t>If you’re in a period of transition, where your team, projects, or resources have grown, use this symptom checker to assess whether you’re experiencing growing pains, and what might alleviate those pressure points.</w:t>
      </w:r>
      <w:r w:rsidR="0005788D">
        <w:rPr>
          <w:sz w:val="24"/>
          <w:szCs w:val="24"/>
        </w:rPr>
        <w:t xml:space="preserve"> Please note, like with other symptoms, there may be causes other than “growing pains.”</w:t>
      </w:r>
    </w:p>
    <w:tbl>
      <w:tblPr>
        <w:tblW w:w="9900" w:type="dxa"/>
        <w:tblCellSpacing w:w="15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6210"/>
      </w:tblGrid>
      <w:tr w:rsidR="000531B8" w:rsidRPr="000531B8" w:rsidTr="0005788D">
        <w:trPr>
          <w:tblHeader/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  <w:rPr>
                <w:b/>
                <w:bCs/>
              </w:rPr>
            </w:pPr>
            <w:r w:rsidRPr="000531B8">
              <w:rPr>
                <w:b/>
                <w:bCs/>
              </w:rPr>
              <w:t>Symptom: What You’re Experiencing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  <w:rPr>
                <w:b/>
                <w:bCs/>
              </w:rPr>
            </w:pPr>
            <w:r w:rsidRPr="000531B8">
              <w:rPr>
                <w:b/>
                <w:bCs/>
              </w:rPr>
              <w:t>Treatment: Actions You Can Take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Overwhelmed PI</w:t>
            </w:r>
            <w:r w:rsidR="0005788D">
              <w:rPr>
                <w:b/>
                <w:bCs/>
              </w:rPr>
              <w:t>/leader</w:t>
            </w:r>
            <w:r w:rsidRPr="000531B8">
              <w:t xml:space="preserve">: Feeling like you're constantly pulled into </w:t>
            </w:r>
            <w:r w:rsidR="0005788D">
              <w:t xml:space="preserve">100 directions, with meetings and </w:t>
            </w:r>
            <w:r w:rsidRPr="000531B8">
              <w:t>administrative tasks leaving little time for research or strategy.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>- Delegate non-essential tasks to trusted team members or administrative staff</w:t>
            </w:r>
            <w:r w:rsidRPr="000531B8">
              <w:br/>
              <w:t xml:space="preserve">- Implement </w:t>
            </w:r>
            <w:r w:rsidR="0005788D">
              <w:t>regular</w:t>
            </w:r>
            <w:r w:rsidRPr="000531B8">
              <w:t xml:space="preserve"> "protected time" </w:t>
            </w:r>
            <w:r w:rsidR="0005788D">
              <w:t>without meetings, prioritizing critical “needle-mover” activities</w:t>
            </w:r>
            <w:r w:rsidRPr="000531B8">
              <w:t xml:space="preserve">. </w:t>
            </w:r>
            <w:r w:rsidRPr="000531B8">
              <w:br/>
              <w:t>- Use project management tools (e.g., Trello or Asana) to reduce decision fatigue and streamline task tracking.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Bottlenecks in Decision-Making</w:t>
            </w:r>
            <w:r w:rsidRPr="000531B8">
              <w:t>: Team members frequently come to you for decisions that could be made independently.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Establish clear decision-making authority for team members (e.g., empower </w:t>
            </w:r>
            <w:r w:rsidR="0005788D">
              <w:t>individuals</w:t>
            </w:r>
            <w:r w:rsidRPr="000531B8">
              <w:t xml:space="preserve"> to make routine </w:t>
            </w:r>
            <w:r w:rsidR="0005788D">
              <w:t>choices</w:t>
            </w:r>
            <w:r w:rsidRPr="000531B8">
              <w:t xml:space="preserve">). </w:t>
            </w:r>
            <w:r w:rsidRPr="000531B8">
              <w:br/>
              <w:t>- Draft a "decision tree" to guide team members in assessing when they can act independently.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Role Confusion</w:t>
            </w:r>
            <w:r w:rsidRPr="000531B8">
              <w:t>: Unclear roles and responsibilities leading to duplicated efforts or gaps in work.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Clearly define job descriptions for each team member, including responsibilities and reporting structures. </w:t>
            </w:r>
            <w:r w:rsidRPr="000531B8">
              <w:br/>
              <w:t>- Regularly revisit team roles during group meetings to ensure clarity and alignment.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Inefficient Communication</w:t>
            </w:r>
            <w:r w:rsidRPr="000531B8">
              <w:t>: Multiple email threads or meetings that don’t lead to clear outcomes or actions.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Introduce a weekly team huddle </w:t>
            </w:r>
            <w:r w:rsidR="0005788D">
              <w:t xml:space="preserve">or smaller “working group” meetings </w:t>
            </w:r>
            <w:r w:rsidRPr="000531B8">
              <w:t xml:space="preserve">with clear agendas and action items. </w:t>
            </w:r>
            <w:r w:rsidRPr="000531B8">
              <w:br/>
              <w:t>- Implement a shared communication tool like Slack for faster, more focused discussions.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Personnel Turnover</w:t>
            </w:r>
            <w:r w:rsidRPr="000531B8">
              <w:t xml:space="preserve">: High rates of turnover due to burnout or dissatisfaction among </w:t>
            </w:r>
            <w:r w:rsidR="0005788D">
              <w:t>group</w:t>
            </w:r>
            <w:r w:rsidRPr="000531B8">
              <w:t xml:space="preserve"> members.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Conduct exit interviews to understand the root causes of turnover. </w:t>
            </w:r>
            <w:r w:rsidRPr="000531B8">
              <w:br/>
              <w:t xml:space="preserve">- Establish regular check-ins with team members to understand and address concerns early. </w:t>
            </w:r>
            <w:r w:rsidRPr="000531B8">
              <w:br/>
              <w:t>- Provide professional development opportunities to retain talent.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Stalled Projects</w:t>
            </w:r>
            <w:r w:rsidRPr="000531B8">
              <w:t>: Projects seem stuck or aren’t progressing on schedule.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Use a project management tool to set clear milestones and track progress. </w:t>
            </w:r>
            <w:r w:rsidRPr="000531B8">
              <w:br/>
              <w:t xml:space="preserve">- Schedule a team brainstorming session to identify obstacles and brainstorm solutions. </w:t>
            </w:r>
            <w:r w:rsidRPr="000531B8">
              <w:br/>
              <w:t>- Consider reallocating resources or personnel to stalled projects to reinvigorate them.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Unclear Research Focus</w:t>
            </w:r>
            <w:r w:rsidRPr="000531B8">
              <w:t xml:space="preserve">: Expanding into too many areas without a clear research </w:t>
            </w:r>
            <w:r w:rsidR="0005788D">
              <w:t>niche</w:t>
            </w:r>
            <w:r w:rsidRPr="000531B8">
              <w:t>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Refocus by identifying your program’s primary research objectives. </w:t>
            </w:r>
            <w:r w:rsidRPr="000531B8">
              <w:br/>
              <w:t>- Use a visual roadmap to prioritize projects that align with your core research mission.</w:t>
            </w:r>
          </w:p>
        </w:tc>
      </w:tr>
      <w:tr w:rsidR="000531B8" w:rsidRPr="000531B8" w:rsidTr="0005788D">
        <w:trPr>
          <w:tblCellSpacing w:w="15" w:type="dxa"/>
        </w:trPr>
        <w:tc>
          <w:tcPr>
            <w:tcW w:w="364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rPr>
                <w:b/>
                <w:bCs/>
              </w:rPr>
              <w:t>Difficulty Tracking Outputs</w:t>
            </w:r>
            <w:r w:rsidRPr="000531B8">
              <w:t xml:space="preserve">: Losing track of key metrics like publications, grants, </w:t>
            </w:r>
            <w:r w:rsidR="0005788D">
              <w:t xml:space="preserve">awards, </w:t>
            </w:r>
            <w:r w:rsidRPr="000531B8">
              <w:t>or student progress.</w:t>
            </w:r>
          </w:p>
        </w:tc>
        <w:tc>
          <w:tcPr>
            <w:tcW w:w="6165" w:type="dxa"/>
            <w:vAlign w:val="center"/>
            <w:hideMark/>
          </w:tcPr>
          <w:p w:rsidR="000531B8" w:rsidRPr="000531B8" w:rsidRDefault="000531B8" w:rsidP="0005788D">
            <w:pPr>
              <w:spacing w:after="0" w:line="240" w:lineRule="auto"/>
            </w:pPr>
            <w:r w:rsidRPr="000531B8">
              <w:t xml:space="preserve">- Implement a shared tracking </w:t>
            </w:r>
            <w:r w:rsidR="0005788D">
              <w:t>system</w:t>
            </w:r>
            <w:r w:rsidRPr="000531B8">
              <w:t xml:space="preserve"> or database for grants, publications, and team achievements. </w:t>
            </w:r>
            <w:r w:rsidRPr="000531B8">
              <w:br/>
              <w:t>- Assign a team member to oversee and update these records.</w:t>
            </w:r>
          </w:p>
        </w:tc>
      </w:tr>
    </w:tbl>
    <w:p w:rsidR="002D04AA" w:rsidRDefault="002D04AA" w:rsidP="0005788D">
      <w:pPr>
        <w:tabs>
          <w:tab w:val="left" w:pos="508"/>
        </w:tabs>
      </w:pPr>
    </w:p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2DA2" w:rsidRDefault="00F32DA2">
      <w:pPr>
        <w:spacing w:after="0" w:line="240" w:lineRule="auto"/>
      </w:pPr>
      <w:r>
        <w:separator/>
      </w:r>
    </w:p>
  </w:endnote>
  <w:endnote w:type="continuationSeparator" w:id="0">
    <w:p w:rsidR="00F32DA2" w:rsidRDefault="00F3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gjdgxs" w:colFirst="0" w:colLast="0"/>
  <w:bookmarkEnd w:id="0"/>
  <w:p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2DA2" w:rsidRDefault="00F32DA2">
      <w:pPr>
        <w:spacing w:after="0" w:line="240" w:lineRule="auto"/>
      </w:pPr>
      <w:r>
        <w:separator/>
      </w:r>
    </w:p>
  </w:footnote>
  <w:footnote w:type="continuationSeparator" w:id="0">
    <w:p w:rsidR="00F32DA2" w:rsidRDefault="00F3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4AA" w:rsidRDefault="003D6D24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2F5496"/>
        <w:sz w:val="32"/>
        <w:szCs w:val="32"/>
        <w:bdr w:val="none" w:sz="0" w:space="0" w:color="auto" w:frame="1"/>
      </w:rPr>
      <w:fldChar w:fldCharType="begin"/>
    </w:r>
    <w:r>
      <w:rPr>
        <w:color w:val="2F5496"/>
        <w:sz w:val="32"/>
        <w:szCs w:val="32"/>
        <w:bdr w:val="none" w:sz="0" w:space="0" w:color="auto" w:frame="1"/>
      </w:rPr>
      <w:instrText xml:space="preserve"> INCLUDEPICTURE "https://lh7-rt.googleusercontent.com/docsz/AD_4nXc5T2alo4GikOzNMXwEu_SY0ZuBGEPtY7wqFRQGhcFIKNX_rlyLQHSCx5MEqLlHwrU7oGt9dwthPZmRBNKGKbDNBWDLwmsX9PDJPTxSH9CuBZg4BZczujue-VKVS4f3Omp3uFOS7mktbcQMDIR9yvQ?key=33eoky_r6zYqOo8cheXXHQ" \* MERGEFORMATINET </w:instrText>
    </w:r>
    <w:r>
      <w:rPr>
        <w:color w:val="2F5496"/>
        <w:sz w:val="32"/>
        <w:szCs w:val="32"/>
        <w:bdr w:val="none" w:sz="0" w:space="0" w:color="auto" w:frame="1"/>
      </w:rPr>
      <w:fldChar w:fldCharType="separate"/>
    </w:r>
    <w:r>
      <w:rPr>
        <w:noProof/>
        <w:color w:val="2F5496"/>
        <w:sz w:val="32"/>
        <w:szCs w:val="32"/>
        <w:bdr w:val="none" w:sz="0" w:space="0" w:color="auto" w:frame="1"/>
      </w:rPr>
      <w:drawing>
        <wp:inline distT="0" distB="0" distL="0" distR="0">
          <wp:extent cx="2219325" cy="611191"/>
          <wp:effectExtent l="0" t="0" r="3175" b="0"/>
          <wp:docPr id="205256303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63032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17" b="35455"/>
                  <a:stretch/>
                </pic:blipFill>
                <pic:spPr bwMode="auto">
                  <a:xfrm>
                    <a:off x="0" y="0"/>
                    <a:ext cx="2267209" cy="6243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2F5496"/>
        <w:sz w:val="32"/>
        <w:szCs w:val="32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2808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B8"/>
    <w:rsid w:val="000531B8"/>
    <w:rsid w:val="0005788D"/>
    <w:rsid w:val="00085985"/>
    <w:rsid w:val="002A5392"/>
    <w:rsid w:val="002D04AA"/>
    <w:rsid w:val="003D63E1"/>
    <w:rsid w:val="003D6D24"/>
    <w:rsid w:val="00420C13"/>
    <w:rsid w:val="004D2901"/>
    <w:rsid w:val="00527D30"/>
    <w:rsid w:val="006F6574"/>
    <w:rsid w:val="007C01BD"/>
    <w:rsid w:val="00B30065"/>
    <w:rsid w:val="00BA1CF9"/>
    <w:rsid w:val="00CE42C3"/>
    <w:rsid w:val="00F32DA2"/>
    <w:rsid w:val="00F90196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1E1BC"/>
  <w15:docId w15:val="{FA46752B-3242-2241-A7EF-B1DB77EF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18</TotalTime>
  <Pages>1</Pages>
  <Words>442</Words>
  <Characters>2524</Characters>
  <Application>Microsoft Office Word</Application>
  <DocSecurity>0</DocSecurity>
  <Lines>21</Lines>
  <Paragraphs>5</Paragraphs>
  <ScaleCrop>false</ScaleCrop>
  <Company>FreshEyes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Sheila Cherry</cp:lastModifiedBy>
  <cp:revision>2</cp:revision>
  <dcterms:created xsi:type="dcterms:W3CDTF">2024-12-16T21:46:00Z</dcterms:created>
  <dcterms:modified xsi:type="dcterms:W3CDTF">2024-12-18T16:23:00Z</dcterms:modified>
</cp:coreProperties>
</file>